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20BC3" w14:textId="01548922" w:rsidR="005520D3" w:rsidRPr="005520D3" w:rsidRDefault="005520D3">
      <w:pPr>
        <w:rPr>
          <w:rFonts w:ascii="Helvetica" w:hAnsi="Helvetica"/>
          <w:color w:val="080909"/>
          <w:sz w:val="21"/>
          <w:szCs w:val="21"/>
          <w:u w:val="single"/>
        </w:rPr>
      </w:pPr>
      <w:r>
        <w:rPr>
          <w:rFonts w:ascii="Helvetica" w:hAnsi="Helvetica"/>
          <w:color w:val="080909"/>
          <w:sz w:val="21"/>
          <w:szCs w:val="21"/>
          <w:u w:val="single"/>
        </w:rPr>
        <w:t>EN</w:t>
      </w:r>
    </w:p>
    <w:tbl>
      <w:tblPr>
        <w:tblW w:w="12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8430"/>
      </w:tblGrid>
      <w:tr w:rsidR="005520D3" w:rsidRPr="005520D3" w14:paraId="0F24F776" w14:textId="77777777">
        <w:tc>
          <w:tcPr>
            <w:tcW w:w="3750" w:type="dxa"/>
            <w:tcBorders>
              <w:top w:val="nil"/>
              <w:left w:val="nil"/>
              <w:right w:val="nil"/>
            </w:tcBorders>
            <w:tcMar>
              <w:top w:w="225" w:type="dxa"/>
              <w:left w:w="180" w:type="dxa"/>
              <w:bottom w:w="225" w:type="dxa"/>
              <w:right w:w="180" w:type="dxa"/>
            </w:tcMar>
            <w:vAlign w:val="center"/>
            <w:hideMark/>
          </w:tcPr>
          <w:p w14:paraId="060F9E5C" w14:textId="77777777" w:rsidR="005520D3" w:rsidRPr="005520D3" w:rsidRDefault="005520D3" w:rsidP="005520D3">
            <w:pPr>
              <w:rPr>
                <w:rFonts w:ascii="inherit" w:hAnsi="inherit"/>
                <w:color w:val="828282"/>
                <w:sz w:val="23"/>
                <w:szCs w:val="23"/>
              </w:rPr>
            </w:pPr>
            <w:r w:rsidRPr="005520D3">
              <w:rPr>
                <w:rFonts w:ascii="inherit" w:hAnsi="inherit"/>
                <w:b/>
                <w:bCs/>
                <w:color w:val="828282"/>
                <w:sz w:val="23"/>
                <w:szCs w:val="23"/>
                <w:bdr w:val="none" w:sz="0" w:space="0" w:color="auto" w:frame="1"/>
              </w:rPr>
              <w:t>Laserový lúč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225" w:type="dxa"/>
              <w:left w:w="180" w:type="dxa"/>
              <w:bottom w:w="225" w:type="dxa"/>
              <w:right w:w="180" w:type="dxa"/>
            </w:tcMar>
            <w:vAlign w:val="center"/>
            <w:hideMark/>
          </w:tcPr>
          <w:p w14:paraId="203AE9B8" w14:textId="326F0228" w:rsidR="005520D3" w:rsidRPr="005520D3" w:rsidRDefault="005520D3" w:rsidP="005520D3">
            <w:pPr>
              <w:rPr>
                <w:rFonts w:ascii="inherit" w:hAnsi="inherit"/>
                <w:color w:val="828282"/>
                <w:sz w:val="23"/>
                <w:szCs w:val="23"/>
              </w:rPr>
            </w:pPr>
            <w:r w:rsidRPr="005520D3">
              <w:rPr>
                <w:rFonts w:ascii="inherit" w:hAnsi="inherit"/>
                <w:color w:val="828282"/>
                <w:sz w:val="23"/>
                <w:szCs w:val="23"/>
              </w:rPr>
              <w:t xml:space="preserve">Červený 638 nm (CL4R LCD) Zelený 515 nm (CL4G LCD) </w:t>
            </w:r>
            <w:r>
              <w:rPr>
                <w:rFonts w:ascii="inherit" w:hAnsi="inherit"/>
                <w:color w:val="828282"/>
                <w:sz w:val="23"/>
                <w:szCs w:val="23"/>
              </w:rPr>
              <w:br/>
            </w:r>
            <w:r w:rsidRPr="005520D3">
              <w:rPr>
                <w:rFonts w:ascii="inherit" w:hAnsi="inherit"/>
                <w:color w:val="828282"/>
                <w:sz w:val="23"/>
                <w:szCs w:val="23"/>
              </w:rPr>
              <w:t>Modrý 505 nm (CL4B LCD) Fialový 450 nm (CL4V LCD)</w:t>
            </w:r>
          </w:p>
        </w:tc>
      </w:tr>
      <w:tr w:rsidR="005520D3" w:rsidRPr="005520D3" w14:paraId="5C9EA50C" w14:textId="77777777">
        <w:tc>
          <w:tcPr>
            <w:tcW w:w="3750" w:type="dxa"/>
            <w:tcBorders>
              <w:top w:val="nil"/>
              <w:left w:val="nil"/>
              <w:right w:val="nil"/>
            </w:tcBorders>
            <w:tcMar>
              <w:top w:w="225" w:type="dxa"/>
              <w:left w:w="180" w:type="dxa"/>
              <w:bottom w:w="225" w:type="dxa"/>
              <w:right w:w="180" w:type="dxa"/>
            </w:tcMar>
            <w:vAlign w:val="center"/>
            <w:hideMark/>
          </w:tcPr>
          <w:p w14:paraId="18362583" w14:textId="77777777" w:rsidR="005520D3" w:rsidRPr="005520D3" w:rsidRDefault="005520D3" w:rsidP="005520D3">
            <w:pPr>
              <w:rPr>
                <w:rFonts w:ascii="inherit" w:hAnsi="inherit"/>
                <w:color w:val="828282"/>
                <w:sz w:val="23"/>
                <w:szCs w:val="23"/>
              </w:rPr>
            </w:pPr>
            <w:r w:rsidRPr="005520D3">
              <w:rPr>
                <w:rFonts w:ascii="inherit" w:hAnsi="inherit"/>
                <w:b/>
                <w:bCs/>
                <w:color w:val="828282"/>
                <w:sz w:val="23"/>
                <w:szCs w:val="23"/>
                <w:bdr w:val="none" w:sz="0" w:space="0" w:color="auto" w:frame="1"/>
              </w:rPr>
              <w:t>Presnosť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225" w:type="dxa"/>
              <w:left w:w="180" w:type="dxa"/>
              <w:bottom w:w="225" w:type="dxa"/>
              <w:right w:w="180" w:type="dxa"/>
            </w:tcMar>
            <w:vAlign w:val="center"/>
            <w:hideMark/>
          </w:tcPr>
          <w:p w14:paraId="7049DC8B" w14:textId="77777777" w:rsidR="005520D3" w:rsidRPr="005520D3" w:rsidRDefault="005520D3" w:rsidP="005520D3">
            <w:pPr>
              <w:rPr>
                <w:rFonts w:ascii="inherit" w:hAnsi="inherit"/>
                <w:color w:val="828282"/>
                <w:sz w:val="23"/>
                <w:szCs w:val="23"/>
              </w:rPr>
            </w:pPr>
            <w:r w:rsidRPr="005520D3">
              <w:rPr>
                <w:rFonts w:ascii="inherit" w:hAnsi="inherit"/>
                <w:color w:val="828282"/>
                <w:sz w:val="23"/>
                <w:szCs w:val="23"/>
              </w:rPr>
              <w:t>±2,0 mm/10 m</w:t>
            </w:r>
          </w:p>
        </w:tc>
      </w:tr>
      <w:tr w:rsidR="005520D3" w:rsidRPr="005520D3" w14:paraId="225C3C47" w14:textId="77777777">
        <w:tc>
          <w:tcPr>
            <w:tcW w:w="3750" w:type="dxa"/>
            <w:tcBorders>
              <w:top w:val="nil"/>
              <w:left w:val="nil"/>
              <w:right w:val="nil"/>
            </w:tcBorders>
            <w:shd w:val="clear" w:color="auto" w:fill="F5F5F5"/>
            <w:tcMar>
              <w:top w:w="225" w:type="dxa"/>
              <w:left w:w="180" w:type="dxa"/>
              <w:bottom w:w="225" w:type="dxa"/>
              <w:right w:w="180" w:type="dxa"/>
            </w:tcMar>
            <w:vAlign w:val="center"/>
            <w:hideMark/>
          </w:tcPr>
          <w:p w14:paraId="4D2EB46C" w14:textId="77777777" w:rsidR="005520D3" w:rsidRPr="005520D3" w:rsidRDefault="005520D3" w:rsidP="005520D3">
            <w:pPr>
              <w:rPr>
                <w:rFonts w:ascii="inherit" w:hAnsi="inherit"/>
                <w:color w:val="828282"/>
                <w:sz w:val="23"/>
                <w:szCs w:val="23"/>
              </w:rPr>
            </w:pPr>
            <w:r w:rsidRPr="005520D3">
              <w:rPr>
                <w:rFonts w:ascii="inherit" w:hAnsi="inherit"/>
                <w:b/>
                <w:bCs/>
                <w:color w:val="828282"/>
                <w:sz w:val="23"/>
                <w:szCs w:val="23"/>
                <w:bdr w:val="none" w:sz="0" w:space="0" w:color="auto" w:frame="1"/>
              </w:rPr>
              <w:t>Pracovný dosah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5F5F5"/>
            <w:tcMar>
              <w:top w:w="225" w:type="dxa"/>
              <w:left w:w="180" w:type="dxa"/>
              <w:bottom w:w="225" w:type="dxa"/>
              <w:right w:w="180" w:type="dxa"/>
            </w:tcMar>
            <w:vAlign w:val="center"/>
            <w:hideMark/>
          </w:tcPr>
          <w:p w14:paraId="13CC5EC4" w14:textId="77777777" w:rsidR="005520D3" w:rsidRPr="005520D3" w:rsidRDefault="005520D3" w:rsidP="005520D3">
            <w:pPr>
              <w:rPr>
                <w:rFonts w:ascii="inherit" w:hAnsi="inherit"/>
                <w:color w:val="828282"/>
                <w:sz w:val="23"/>
                <w:szCs w:val="23"/>
              </w:rPr>
            </w:pPr>
            <w:r w:rsidRPr="005520D3">
              <w:rPr>
                <w:rFonts w:ascii="inherit" w:hAnsi="inherit"/>
                <w:color w:val="828282"/>
                <w:sz w:val="23"/>
                <w:szCs w:val="23"/>
              </w:rPr>
              <w:t>30 m (70 m s prijímačom)</w:t>
            </w:r>
          </w:p>
        </w:tc>
      </w:tr>
      <w:tr w:rsidR="005520D3" w:rsidRPr="005520D3" w14:paraId="0BFB50BC" w14:textId="77777777">
        <w:tc>
          <w:tcPr>
            <w:tcW w:w="3750" w:type="dxa"/>
            <w:tcBorders>
              <w:top w:val="nil"/>
              <w:left w:val="nil"/>
              <w:right w:val="nil"/>
            </w:tcBorders>
            <w:tcMar>
              <w:top w:w="225" w:type="dxa"/>
              <w:left w:w="180" w:type="dxa"/>
              <w:bottom w:w="225" w:type="dxa"/>
              <w:right w:w="180" w:type="dxa"/>
            </w:tcMar>
            <w:vAlign w:val="center"/>
            <w:hideMark/>
          </w:tcPr>
          <w:p w14:paraId="478136AD" w14:textId="77777777" w:rsidR="005520D3" w:rsidRPr="005520D3" w:rsidRDefault="005520D3" w:rsidP="005520D3">
            <w:pPr>
              <w:rPr>
                <w:rFonts w:ascii="inherit" w:hAnsi="inherit"/>
                <w:color w:val="828282"/>
                <w:sz w:val="23"/>
                <w:szCs w:val="23"/>
              </w:rPr>
            </w:pPr>
            <w:r w:rsidRPr="005520D3">
              <w:rPr>
                <w:rFonts w:ascii="inherit" w:hAnsi="inherit"/>
                <w:b/>
                <w:bCs/>
                <w:color w:val="828282"/>
                <w:sz w:val="23"/>
                <w:szCs w:val="23"/>
                <w:bdr w:val="none" w:sz="0" w:space="0" w:color="auto" w:frame="1"/>
              </w:rPr>
              <w:t>Bluetooth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225" w:type="dxa"/>
              <w:left w:w="180" w:type="dxa"/>
              <w:bottom w:w="225" w:type="dxa"/>
              <w:right w:w="180" w:type="dxa"/>
            </w:tcMar>
            <w:vAlign w:val="center"/>
            <w:hideMark/>
          </w:tcPr>
          <w:p w14:paraId="431B5E3E" w14:textId="77777777" w:rsidR="005520D3" w:rsidRPr="005520D3" w:rsidRDefault="005520D3" w:rsidP="005520D3">
            <w:pPr>
              <w:rPr>
                <w:rFonts w:ascii="inherit" w:hAnsi="inherit"/>
                <w:color w:val="828282"/>
                <w:sz w:val="23"/>
                <w:szCs w:val="23"/>
              </w:rPr>
            </w:pPr>
            <w:r w:rsidRPr="005520D3">
              <w:rPr>
                <w:rFonts w:ascii="inherit" w:hAnsi="inherit"/>
                <w:color w:val="828282"/>
                <w:sz w:val="23"/>
                <w:szCs w:val="23"/>
              </w:rPr>
              <w:t>áno</w:t>
            </w:r>
          </w:p>
        </w:tc>
      </w:tr>
      <w:tr w:rsidR="005520D3" w:rsidRPr="005520D3" w14:paraId="232BF8A7" w14:textId="77777777">
        <w:tc>
          <w:tcPr>
            <w:tcW w:w="3750" w:type="dxa"/>
            <w:tcBorders>
              <w:top w:val="nil"/>
              <w:left w:val="nil"/>
              <w:right w:val="nil"/>
            </w:tcBorders>
            <w:tcMar>
              <w:top w:w="225" w:type="dxa"/>
              <w:left w:w="180" w:type="dxa"/>
              <w:bottom w:w="225" w:type="dxa"/>
              <w:right w:w="180" w:type="dxa"/>
            </w:tcMar>
            <w:vAlign w:val="center"/>
            <w:hideMark/>
          </w:tcPr>
          <w:p w14:paraId="4354F877" w14:textId="77777777" w:rsidR="005520D3" w:rsidRPr="005520D3" w:rsidRDefault="005520D3" w:rsidP="005520D3">
            <w:pPr>
              <w:rPr>
                <w:rFonts w:ascii="inherit" w:hAnsi="inherit"/>
                <w:color w:val="828282"/>
                <w:sz w:val="23"/>
                <w:szCs w:val="23"/>
              </w:rPr>
            </w:pPr>
            <w:r w:rsidRPr="005520D3">
              <w:rPr>
                <w:rFonts w:ascii="inherit" w:hAnsi="inherit"/>
                <w:b/>
                <w:bCs/>
                <w:color w:val="828282"/>
                <w:sz w:val="23"/>
                <w:szCs w:val="23"/>
                <w:bdr w:val="none" w:sz="0" w:space="0" w:color="auto" w:frame="1"/>
              </w:rPr>
              <w:t>Sklon rovín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225" w:type="dxa"/>
              <w:left w:w="180" w:type="dxa"/>
              <w:bottom w:w="225" w:type="dxa"/>
              <w:right w:w="180" w:type="dxa"/>
            </w:tcMar>
            <w:vAlign w:val="center"/>
            <w:hideMark/>
          </w:tcPr>
          <w:p w14:paraId="2DCCC19A" w14:textId="77777777" w:rsidR="005520D3" w:rsidRPr="005520D3" w:rsidRDefault="005520D3" w:rsidP="005520D3">
            <w:pPr>
              <w:rPr>
                <w:rFonts w:ascii="inherit" w:hAnsi="inherit"/>
                <w:color w:val="828282"/>
                <w:sz w:val="23"/>
                <w:szCs w:val="23"/>
              </w:rPr>
            </w:pPr>
            <w:r w:rsidRPr="005520D3">
              <w:rPr>
                <w:rFonts w:ascii="inherit" w:hAnsi="inherit"/>
                <w:color w:val="828282"/>
                <w:sz w:val="23"/>
                <w:szCs w:val="23"/>
              </w:rPr>
              <w:t>áno</w:t>
            </w:r>
          </w:p>
        </w:tc>
      </w:tr>
      <w:tr w:rsidR="005520D3" w:rsidRPr="005520D3" w14:paraId="1FFDA875" w14:textId="77777777">
        <w:tc>
          <w:tcPr>
            <w:tcW w:w="3750" w:type="dxa"/>
            <w:tcBorders>
              <w:top w:val="nil"/>
              <w:left w:val="nil"/>
              <w:right w:val="nil"/>
            </w:tcBorders>
            <w:tcMar>
              <w:top w:w="225" w:type="dxa"/>
              <w:left w:w="180" w:type="dxa"/>
              <w:bottom w:w="225" w:type="dxa"/>
              <w:right w:w="180" w:type="dxa"/>
            </w:tcMar>
            <w:vAlign w:val="center"/>
            <w:hideMark/>
          </w:tcPr>
          <w:p w14:paraId="68EEF1FC" w14:textId="4FAAFA6D" w:rsidR="005520D3" w:rsidRPr="005520D3" w:rsidRDefault="005520D3" w:rsidP="005520D3">
            <w:pPr>
              <w:rPr>
                <w:rFonts w:ascii="inherit" w:hAnsi="inherit"/>
                <w:color w:val="828282"/>
                <w:sz w:val="23"/>
                <w:szCs w:val="23"/>
              </w:rPr>
            </w:pPr>
            <w:r w:rsidRPr="005520D3">
              <w:rPr>
                <w:rFonts w:ascii="inherit" w:hAnsi="inherit"/>
                <w:b/>
                <w:bCs/>
                <w:color w:val="828282"/>
                <w:sz w:val="23"/>
                <w:szCs w:val="23"/>
                <w:bdr w:val="none" w:sz="0" w:space="0" w:color="auto" w:frame="1"/>
              </w:rPr>
              <w:t xml:space="preserve">Rozsah </w:t>
            </w:r>
            <w:r w:rsidR="003965BF">
              <w:rPr>
                <w:rFonts w:ascii="inherit" w:hAnsi="inherit"/>
                <w:b/>
                <w:bCs/>
                <w:color w:val="828282"/>
                <w:sz w:val="23"/>
                <w:szCs w:val="23"/>
                <w:bdr w:val="none" w:sz="0" w:space="0" w:color="auto" w:frame="1"/>
              </w:rPr>
              <w:t>samovyrovnávania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225" w:type="dxa"/>
              <w:left w:w="180" w:type="dxa"/>
              <w:bottom w:w="225" w:type="dxa"/>
              <w:right w:w="180" w:type="dxa"/>
            </w:tcMar>
            <w:vAlign w:val="center"/>
            <w:hideMark/>
          </w:tcPr>
          <w:p w14:paraId="31C65027" w14:textId="77777777" w:rsidR="005520D3" w:rsidRPr="005520D3" w:rsidRDefault="005520D3" w:rsidP="005520D3">
            <w:pPr>
              <w:rPr>
                <w:rFonts w:ascii="inherit" w:hAnsi="inherit"/>
                <w:color w:val="828282"/>
                <w:sz w:val="23"/>
                <w:szCs w:val="23"/>
              </w:rPr>
            </w:pPr>
            <w:r w:rsidRPr="005520D3">
              <w:rPr>
                <w:rFonts w:ascii="inherit" w:hAnsi="inherit"/>
                <w:color w:val="828282"/>
                <w:sz w:val="23"/>
                <w:szCs w:val="23"/>
              </w:rPr>
              <w:t>±3,0°</w:t>
            </w:r>
          </w:p>
        </w:tc>
      </w:tr>
      <w:tr w:rsidR="005520D3" w:rsidRPr="005520D3" w14:paraId="50B2C07F" w14:textId="77777777">
        <w:tc>
          <w:tcPr>
            <w:tcW w:w="3750" w:type="dxa"/>
            <w:tcBorders>
              <w:top w:val="nil"/>
              <w:left w:val="nil"/>
              <w:right w:val="nil"/>
            </w:tcBorders>
            <w:tcMar>
              <w:top w:w="225" w:type="dxa"/>
              <w:left w:w="180" w:type="dxa"/>
              <w:bottom w:w="225" w:type="dxa"/>
              <w:right w:w="180" w:type="dxa"/>
            </w:tcMar>
            <w:vAlign w:val="center"/>
            <w:hideMark/>
          </w:tcPr>
          <w:p w14:paraId="6134647F" w14:textId="77777777" w:rsidR="005520D3" w:rsidRPr="005520D3" w:rsidRDefault="005520D3" w:rsidP="005520D3">
            <w:pPr>
              <w:rPr>
                <w:rFonts w:ascii="inherit" w:hAnsi="inherit"/>
                <w:color w:val="828282"/>
                <w:sz w:val="23"/>
                <w:szCs w:val="23"/>
              </w:rPr>
            </w:pPr>
            <w:r w:rsidRPr="005520D3">
              <w:rPr>
                <w:rFonts w:ascii="inherit" w:hAnsi="inherit"/>
                <w:b/>
                <w:bCs/>
                <w:color w:val="828282"/>
                <w:sz w:val="23"/>
                <w:szCs w:val="23"/>
                <w:bdr w:val="none" w:sz="0" w:space="0" w:color="auto" w:frame="1"/>
              </w:rPr>
              <w:t>Zobrazenie lúčov / rovín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225" w:type="dxa"/>
              <w:left w:w="180" w:type="dxa"/>
              <w:bottom w:w="225" w:type="dxa"/>
              <w:right w:w="180" w:type="dxa"/>
            </w:tcMar>
            <w:vAlign w:val="center"/>
            <w:hideMark/>
          </w:tcPr>
          <w:p w14:paraId="32004DBB" w14:textId="77777777" w:rsidR="005520D3" w:rsidRPr="005520D3" w:rsidRDefault="005520D3" w:rsidP="005520D3">
            <w:pPr>
              <w:rPr>
                <w:rFonts w:ascii="inherit" w:hAnsi="inherit"/>
                <w:color w:val="828282"/>
                <w:sz w:val="23"/>
                <w:szCs w:val="23"/>
              </w:rPr>
            </w:pPr>
            <w:r w:rsidRPr="005520D3">
              <w:rPr>
                <w:rFonts w:ascii="inherit" w:hAnsi="inherit"/>
                <w:color w:val="828282"/>
                <w:sz w:val="23"/>
                <w:szCs w:val="23"/>
              </w:rPr>
              <w:t>2 x horizontálne (360°), 2 x vertikálne (360°)</w:t>
            </w:r>
          </w:p>
        </w:tc>
      </w:tr>
      <w:tr w:rsidR="005520D3" w:rsidRPr="005520D3" w14:paraId="69A2A5D8" w14:textId="77777777">
        <w:tc>
          <w:tcPr>
            <w:tcW w:w="3750" w:type="dxa"/>
            <w:tcBorders>
              <w:top w:val="nil"/>
              <w:left w:val="nil"/>
              <w:right w:val="nil"/>
            </w:tcBorders>
            <w:tcMar>
              <w:top w:w="225" w:type="dxa"/>
              <w:left w:w="180" w:type="dxa"/>
              <w:bottom w:w="225" w:type="dxa"/>
              <w:right w:w="180" w:type="dxa"/>
            </w:tcMar>
            <w:vAlign w:val="center"/>
            <w:hideMark/>
          </w:tcPr>
          <w:p w14:paraId="748F9F80" w14:textId="4E01C7AD" w:rsidR="005520D3" w:rsidRPr="005520D3" w:rsidRDefault="003965BF" w:rsidP="005520D3">
            <w:pPr>
              <w:rPr>
                <w:rFonts w:ascii="inherit" w:hAnsi="inherit"/>
                <w:color w:val="828282"/>
                <w:sz w:val="23"/>
                <w:szCs w:val="23"/>
              </w:rPr>
            </w:pPr>
            <w:r>
              <w:rPr>
                <w:rFonts w:ascii="inherit" w:hAnsi="inherit"/>
                <w:b/>
                <w:bCs/>
                <w:color w:val="828282"/>
                <w:sz w:val="23"/>
                <w:szCs w:val="23"/>
                <w:bdr w:val="none" w:sz="0" w:space="0" w:color="auto" w:frame="1"/>
              </w:rPr>
              <w:t>Závity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225" w:type="dxa"/>
              <w:left w:w="180" w:type="dxa"/>
              <w:bottom w:w="225" w:type="dxa"/>
              <w:right w:w="180" w:type="dxa"/>
            </w:tcMar>
            <w:vAlign w:val="center"/>
            <w:hideMark/>
          </w:tcPr>
          <w:p w14:paraId="44E6E9C3" w14:textId="77777777" w:rsidR="005520D3" w:rsidRPr="005520D3" w:rsidRDefault="005520D3" w:rsidP="005520D3">
            <w:pPr>
              <w:rPr>
                <w:rFonts w:ascii="inherit" w:hAnsi="inherit"/>
                <w:color w:val="828282"/>
                <w:sz w:val="23"/>
                <w:szCs w:val="23"/>
              </w:rPr>
            </w:pPr>
            <w:r w:rsidRPr="005520D3">
              <w:rPr>
                <w:rFonts w:ascii="inherit" w:hAnsi="inherit"/>
                <w:color w:val="828282"/>
                <w:sz w:val="23"/>
                <w:szCs w:val="23"/>
              </w:rPr>
              <w:t>1/4″, 5/8″</w:t>
            </w:r>
          </w:p>
        </w:tc>
      </w:tr>
      <w:tr w:rsidR="005520D3" w:rsidRPr="005520D3" w14:paraId="015231BF" w14:textId="77777777">
        <w:tc>
          <w:tcPr>
            <w:tcW w:w="3750" w:type="dxa"/>
            <w:tcBorders>
              <w:top w:val="nil"/>
              <w:left w:val="nil"/>
              <w:right w:val="nil"/>
            </w:tcBorders>
            <w:tcMar>
              <w:top w:w="225" w:type="dxa"/>
              <w:left w:w="180" w:type="dxa"/>
              <w:bottom w:w="225" w:type="dxa"/>
              <w:right w:w="180" w:type="dxa"/>
            </w:tcMar>
            <w:vAlign w:val="center"/>
            <w:hideMark/>
          </w:tcPr>
          <w:p w14:paraId="1FC13EAA" w14:textId="77777777" w:rsidR="005520D3" w:rsidRPr="005520D3" w:rsidRDefault="005520D3" w:rsidP="005520D3">
            <w:pPr>
              <w:rPr>
                <w:rFonts w:ascii="inherit" w:hAnsi="inherit"/>
                <w:color w:val="828282"/>
                <w:sz w:val="23"/>
                <w:szCs w:val="23"/>
              </w:rPr>
            </w:pPr>
            <w:r w:rsidRPr="005520D3">
              <w:rPr>
                <w:rFonts w:ascii="inherit" w:hAnsi="inherit"/>
                <w:b/>
                <w:bCs/>
                <w:color w:val="828282"/>
                <w:sz w:val="23"/>
                <w:szCs w:val="23"/>
                <w:bdr w:val="none" w:sz="0" w:space="0" w:color="auto" w:frame="1"/>
              </w:rPr>
              <w:t>Napájanie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225" w:type="dxa"/>
              <w:left w:w="180" w:type="dxa"/>
              <w:bottom w:w="225" w:type="dxa"/>
              <w:right w:w="180" w:type="dxa"/>
            </w:tcMar>
            <w:vAlign w:val="center"/>
            <w:hideMark/>
          </w:tcPr>
          <w:p w14:paraId="538DC883" w14:textId="4461C954" w:rsidR="005520D3" w:rsidRPr="005520D3" w:rsidRDefault="005520D3" w:rsidP="005520D3">
            <w:pPr>
              <w:rPr>
                <w:rFonts w:ascii="inherit" w:hAnsi="inherit"/>
                <w:color w:val="828282"/>
                <w:sz w:val="23"/>
                <w:szCs w:val="23"/>
              </w:rPr>
            </w:pPr>
            <w:r w:rsidRPr="005520D3">
              <w:rPr>
                <w:rFonts w:ascii="inherit" w:hAnsi="inherit"/>
                <w:color w:val="828282"/>
                <w:sz w:val="23"/>
                <w:szCs w:val="23"/>
              </w:rPr>
              <w:t>nabíjateľná Li-ion 3,7 V (8000 mAh)</w:t>
            </w:r>
          </w:p>
        </w:tc>
      </w:tr>
      <w:tr w:rsidR="005520D3" w:rsidRPr="005520D3" w14:paraId="5A0FBEF1" w14:textId="77777777">
        <w:tc>
          <w:tcPr>
            <w:tcW w:w="3750" w:type="dxa"/>
            <w:tcBorders>
              <w:top w:val="nil"/>
              <w:left w:val="nil"/>
              <w:right w:val="nil"/>
            </w:tcBorders>
            <w:tcMar>
              <w:top w:w="225" w:type="dxa"/>
              <w:left w:w="180" w:type="dxa"/>
              <w:bottom w:w="225" w:type="dxa"/>
              <w:right w:w="180" w:type="dxa"/>
            </w:tcMar>
            <w:vAlign w:val="center"/>
            <w:hideMark/>
          </w:tcPr>
          <w:p w14:paraId="494B0BEE" w14:textId="77777777" w:rsidR="005520D3" w:rsidRPr="005520D3" w:rsidRDefault="005520D3" w:rsidP="005520D3">
            <w:pPr>
              <w:rPr>
                <w:rFonts w:ascii="inherit" w:hAnsi="inherit"/>
                <w:color w:val="828282"/>
                <w:sz w:val="23"/>
                <w:szCs w:val="23"/>
              </w:rPr>
            </w:pPr>
            <w:r w:rsidRPr="005520D3">
              <w:rPr>
                <w:rFonts w:ascii="inherit" w:hAnsi="inherit"/>
                <w:b/>
                <w:bCs/>
                <w:color w:val="828282"/>
                <w:sz w:val="23"/>
                <w:szCs w:val="23"/>
                <w:bdr w:val="none" w:sz="0" w:space="0" w:color="auto" w:frame="1"/>
              </w:rPr>
              <w:t>Trieda odolnosti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225" w:type="dxa"/>
              <w:left w:w="180" w:type="dxa"/>
              <w:bottom w:w="225" w:type="dxa"/>
              <w:right w:w="180" w:type="dxa"/>
            </w:tcMar>
            <w:vAlign w:val="center"/>
            <w:hideMark/>
          </w:tcPr>
          <w:p w14:paraId="5F15955B" w14:textId="77777777" w:rsidR="005520D3" w:rsidRPr="005520D3" w:rsidRDefault="005520D3" w:rsidP="005520D3">
            <w:pPr>
              <w:rPr>
                <w:rFonts w:ascii="inherit" w:hAnsi="inherit"/>
                <w:color w:val="828282"/>
                <w:sz w:val="23"/>
                <w:szCs w:val="23"/>
              </w:rPr>
            </w:pPr>
            <w:r w:rsidRPr="005520D3">
              <w:rPr>
                <w:rFonts w:ascii="inherit" w:hAnsi="inherit"/>
                <w:color w:val="828282"/>
                <w:sz w:val="23"/>
                <w:szCs w:val="23"/>
              </w:rPr>
              <w:t>IP54</w:t>
            </w:r>
          </w:p>
        </w:tc>
      </w:tr>
      <w:tr w:rsidR="005520D3" w:rsidRPr="005520D3" w14:paraId="66DF2A83" w14:textId="77777777">
        <w:tc>
          <w:tcPr>
            <w:tcW w:w="3750" w:type="dxa"/>
            <w:tcBorders>
              <w:top w:val="nil"/>
              <w:left w:val="nil"/>
              <w:right w:val="nil"/>
            </w:tcBorders>
            <w:tcMar>
              <w:top w:w="225" w:type="dxa"/>
              <w:left w:w="180" w:type="dxa"/>
              <w:bottom w:w="225" w:type="dxa"/>
              <w:right w:w="180" w:type="dxa"/>
            </w:tcMar>
            <w:vAlign w:val="center"/>
            <w:hideMark/>
          </w:tcPr>
          <w:p w14:paraId="291CF932" w14:textId="77777777" w:rsidR="005520D3" w:rsidRPr="005520D3" w:rsidRDefault="005520D3" w:rsidP="005520D3">
            <w:pPr>
              <w:rPr>
                <w:rFonts w:ascii="inherit" w:hAnsi="inherit"/>
                <w:color w:val="828282"/>
                <w:sz w:val="23"/>
                <w:szCs w:val="23"/>
              </w:rPr>
            </w:pPr>
            <w:r w:rsidRPr="005520D3">
              <w:rPr>
                <w:rFonts w:ascii="inherit" w:hAnsi="inherit"/>
                <w:b/>
                <w:bCs/>
                <w:color w:val="828282"/>
                <w:sz w:val="23"/>
                <w:szCs w:val="23"/>
                <w:bdr w:val="none" w:sz="0" w:space="0" w:color="auto" w:frame="1"/>
              </w:rPr>
              <w:t>Rozsah prevádzkových teplôt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225" w:type="dxa"/>
              <w:left w:w="180" w:type="dxa"/>
              <w:bottom w:w="225" w:type="dxa"/>
              <w:right w:w="180" w:type="dxa"/>
            </w:tcMar>
            <w:vAlign w:val="center"/>
            <w:hideMark/>
          </w:tcPr>
          <w:p w14:paraId="5790BE3E" w14:textId="77777777" w:rsidR="005520D3" w:rsidRPr="005520D3" w:rsidRDefault="005520D3" w:rsidP="005520D3">
            <w:pPr>
              <w:rPr>
                <w:rFonts w:ascii="inherit" w:hAnsi="inherit"/>
                <w:color w:val="828282"/>
                <w:sz w:val="23"/>
                <w:szCs w:val="23"/>
              </w:rPr>
            </w:pPr>
            <w:r w:rsidRPr="005520D3">
              <w:rPr>
                <w:rFonts w:ascii="inherit" w:hAnsi="inherit"/>
                <w:color w:val="828282"/>
                <w:sz w:val="23"/>
                <w:szCs w:val="23"/>
              </w:rPr>
              <w:t>-10 °C až +50 °C</w:t>
            </w:r>
          </w:p>
        </w:tc>
      </w:tr>
      <w:tr w:rsidR="005520D3" w:rsidRPr="005520D3" w14:paraId="7EE157D2" w14:textId="77777777">
        <w:tc>
          <w:tcPr>
            <w:tcW w:w="3750" w:type="dxa"/>
            <w:tcBorders>
              <w:top w:val="nil"/>
              <w:left w:val="nil"/>
              <w:right w:val="nil"/>
            </w:tcBorders>
            <w:tcMar>
              <w:top w:w="225" w:type="dxa"/>
              <w:left w:w="180" w:type="dxa"/>
              <w:bottom w:w="225" w:type="dxa"/>
              <w:right w:w="180" w:type="dxa"/>
            </w:tcMar>
            <w:vAlign w:val="center"/>
            <w:hideMark/>
          </w:tcPr>
          <w:p w14:paraId="1A6EC333" w14:textId="77777777" w:rsidR="005520D3" w:rsidRPr="005520D3" w:rsidRDefault="005520D3" w:rsidP="005520D3">
            <w:pPr>
              <w:rPr>
                <w:rFonts w:ascii="inherit" w:hAnsi="inherit"/>
                <w:color w:val="828282"/>
                <w:sz w:val="23"/>
                <w:szCs w:val="23"/>
              </w:rPr>
            </w:pPr>
            <w:r w:rsidRPr="005520D3">
              <w:rPr>
                <w:rFonts w:ascii="inherit" w:hAnsi="inherit"/>
                <w:b/>
                <w:bCs/>
                <w:color w:val="828282"/>
                <w:sz w:val="23"/>
                <w:szCs w:val="23"/>
                <w:bdr w:val="none" w:sz="0" w:space="0" w:color="auto" w:frame="1"/>
              </w:rPr>
              <w:t>Rozmery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225" w:type="dxa"/>
              <w:left w:w="180" w:type="dxa"/>
              <w:bottom w:w="225" w:type="dxa"/>
              <w:right w:w="180" w:type="dxa"/>
            </w:tcMar>
            <w:vAlign w:val="center"/>
            <w:hideMark/>
          </w:tcPr>
          <w:p w14:paraId="26434CAD" w14:textId="77777777" w:rsidR="005520D3" w:rsidRPr="005520D3" w:rsidRDefault="005520D3" w:rsidP="005520D3">
            <w:pPr>
              <w:rPr>
                <w:rFonts w:ascii="inherit" w:hAnsi="inherit"/>
                <w:color w:val="828282"/>
                <w:sz w:val="23"/>
                <w:szCs w:val="23"/>
              </w:rPr>
            </w:pPr>
            <w:r w:rsidRPr="005520D3">
              <w:rPr>
                <w:rFonts w:ascii="inherit" w:hAnsi="inherit"/>
                <w:color w:val="828282"/>
                <w:sz w:val="23"/>
                <w:szCs w:val="23"/>
              </w:rPr>
              <w:t>148 x 90 x 151 mm</w:t>
            </w:r>
          </w:p>
        </w:tc>
      </w:tr>
      <w:tr w:rsidR="005520D3" w:rsidRPr="005520D3" w14:paraId="1E871B82" w14:textId="77777777">
        <w:tc>
          <w:tcPr>
            <w:tcW w:w="3750" w:type="dxa"/>
            <w:tcBorders>
              <w:top w:val="nil"/>
              <w:left w:val="nil"/>
              <w:right w:val="nil"/>
            </w:tcBorders>
            <w:tcMar>
              <w:top w:w="225" w:type="dxa"/>
              <w:left w:w="180" w:type="dxa"/>
              <w:bottom w:w="225" w:type="dxa"/>
              <w:right w:w="180" w:type="dxa"/>
            </w:tcMar>
            <w:vAlign w:val="center"/>
            <w:hideMark/>
          </w:tcPr>
          <w:p w14:paraId="25F2FE5D" w14:textId="77777777" w:rsidR="005520D3" w:rsidRPr="005520D3" w:rsidRDefault="005520D3" w:rsidP="005520D3">
            <w:pPr>
              <w:rPr>
                <w:rFonts w:ascii="inherit" w:hAnsi="inherit"/>
                <w:color w:val="828282"/>
                <w:sz w:val="23"/>
                <w:szCs w:val="23"/>
              </w:rPr>
            </w:pPr>
            <w:r w:rsidRPr="005520D3">
              <w:rPr>
                <w:rFonts w:ascii="inherit" w:hAnsi="inherit"/>
                <w:b/>
                <w:bCs/>
                <w:color w:val="828282"/>
                <w:sz w:val="23"/>
                <w:szCs w:val="23"/>
                <w:bdr w:val="none" w:sz="0" w:space="0" w:color="auto" w:frame="1"/>
              </w:rPr>
              <w:t>Hmotnosť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225" w:type="dxa"/>
              <w:left w:w="180" w:type="dxa"/>
              <w:bottom w:w="225" w:type="dxa"/>
              <w:right w:w="180" w:type="dxa"/>
            </w:tcMar>
            <w:vAlign w:val="center"/>
            <w:hideMark/>
          </w:tcPr>
          <w:p w14:paraId="7614FEFD" w14:textId="32DD16FB" w:rsidR="005520D3" w:rsidRPr="005520D3" w:rsidRDefault="005520D3" w:rsidP="005520D3">
            <w:pPr>
              <w:rPr>
                <w:rFonts w:ascii="inherit" w:hAnsi="inherit"/>
                <w:color w:val="828282"/>
                <w:sz w:val="23"/>
                <w:szCs w:val="23"/>
              </w:rPr>
            </w:pPr>
            <w:r>
              <w:rPr>
                <w:rFonts w:ascii="inherit" w:hAnsi="inherit"/>
                <w:color w:val="828282"/>
                <w:sz w:val="23"/>
                <w:szCs w:val="23"/>
              </w:rPr>
              <w:t>0,92 kg</w:t>
            </w:r>
          </w:p>
        </w:tc>
      </w:tr>
    </w:tbl>
    <w:p w14:paraId="1EB77868" w14:textId="77777777" w:rsidR="005520D3" w:rsidRPr="005520D3" w:rsidRDefault="005520D3" w:rsidP="00F62DBE"/>
    <w:sectPr w:rsidR="005520D3" w:rsidRPr="00552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86F"/>
    <w:rsid w:val="000A7AFC"/>
    <w:rsid w:val="003513D6"/>
    <w:rsid w:val="003965BF"/>
    <w:rsid w:val="0046381C"/>
    <w:rsid w:val="005520D3"/>
    <w:rsid w:val="0080186F"/>
    <w:rsid w:val="00845DBD"/>
    <w:rsid w:val="00ED6F7D"/>
    <w:rsid w:val="00F23527"/>
    <w:rsid w:val="00F62DBE"/>
    <w:rsid w:val="00F8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82DD5"/>
  <w15:chartTrackingRefBased/>
  <w15:docId w15:val="{09678D4B-D7BB-554D-BF7A-D3934452E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520D3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0186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0186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0186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0186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0186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0186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0186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0186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0186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018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018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018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0186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0186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0186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0186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0186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0186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018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801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186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8018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0186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80186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0186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80186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018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0186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0186F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lny"/>
    <w:rsid w:val="0080186F"/>
    <w:rPr>
      <w:rFonts w:ascii="Helvetica" w:hAnsi="Helvetica"/>
      <w:color w:val="0B0A09"/>
      <w:sz w:val="41"/>
      <w:szCs w:val="41"/>
    </w:rPr>
  </w:style>
  <w:style w:type="paragraph" w:customStyle="1" w:styleId="p2">
    <w:name w:val="p2"/>
    <w:basedOn w:val="Normlny"/>
    <w:rsid w:val="0080186F"/>
    <w:rPr>
      <w:rFonts w:ascii="Helvetica" w:hAnsi="Helvetica"/>
      <w:color w:val="080909"/>
      <w:sz w:val="52"/>
      <w:szCs w:val="52"/>
    </w:rPr>
  </w:style>
  <w:style w:type="paragraph" w:customStyle="1" w:styleId="p3">
    <w:name w:val="p3"/>
    <w:basedOn w:val="Normlny"/>
    <w:rsid w:val="0080186F"/>
    <w:rPr>
      <w:rFonts w:ascii="Helvetica" w:hAnsi="Helvetica"/>
      <w:color w:val="080909"/>
      <w:sz w:val="19"/>
      <w:szCs w:val="19"/>
    </w:rPr>
  </w:style>
  <w:style w:type="paragraph" w:customStyle="1" w:styleId="p4">
    <w:name w:val="p4"/>
    <w:basedOn w:val="Normlny"/>
    <w:rsid w:val="0080186F"/>
    <w:rPr>
      <w:rFonts w:ascii="Helvetica" w:hAnsi="Helvetica"/>
      <w:color w:val="080909"/>
      <w:sz w:val="15"/>
      <w:szCs w:val="15"/>
    </w:rPr>
  </w:style>
  <w:style w:type="character" w:customStyle="1" w:styleId="s1">
    <w:name w:val="s1"/>
    <w:basedOn w:val="Predvolenpsmoodseku"/>
    <w:rsid w:val="00845DBD"/>
    <w:rPr>
      <w:color w:val="0B0A09"/>
    </w:rPr>
  </w:style>
  <w:style w:type="character" w:customStyle="1" w:styleId="s2">
    <w:name w:val="s2"/>
    <w:basedOn w:val="Predvolenpsmoodseku"/>
    <w:rsid w:val="00845DBD"/>
    <w:rPr>
      <w:color w:val="141413"/>
    </w:rPr>
  </w:style>
  <w:style w:type="character" w:customStyle="1" w:styleId="apple-converted-space">
    <w:name w:val="apple-converted-space"/>
    <w:basedOn w:val="Predvolenpsmoodseku"/>
    <w:rsid w:val="0046381C"/>
  </w:style>
  <w:style w:type="character" w:styleId="Vrazn">
    <w:name w:val="Strong"/>
    <w:basedOn w:val="Predvolenpsmoodseku"/>
    <w:uiPriority w:val="22"/>
    <w:qFormat/>
    <w:rsid w:val="003513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tbos@tpi.com.pl</dc:creator>
  <cp:keywords>, docId:A29F59E31D6F7619C2E0376E84BB3B67</cp:keywords>
  <dc:description/>
  <cp:lastModifiedBy>3gon Slovakia</cp:lastModifiedBy>
  <cp:revision>3</cp:revision>
  <dcterms:created xsi:type="dcterms:W3CDTF">2026-07-14T08:30:00Z</dcterms:created>
  <dcterms:modified xsi:type="dcterms:W3CDTF">2026-07-23T08:02:00Z</dcterms:modified>
</cp:coreProperties>
</file>